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Theme="majorEastAsia" w:hAnsiTheme="majorEastAsia" w:eastAsiaTheme="majorEastAsia" w:cstheme="majorEastAsia"/>
          <w:color w:val="FF0000"/>
          <w:sz w:val="36"/>
          <w:szCs w:val="36"/>
          <w:lang w:val="en-US" w:eastAsia="zh-CN"/>
        </w:rPr>
      </w:pPr>
      <w:bookmarkStart w:id="0" w:name="_GoBack"/>
      <w:r>
        <w:rPr>
          <w:rFonts w:hint="eastAsia" w:asciiTheme="majorEastAsia" w:hAnsiTheme="majorEastAsia" w:eastAsiaTheme="majorEastAsia" w:cstheme="majorEastAsia"/>
          <w:b/>
          <w:bCs/>
          <w:color w:val="FF0000"/>
          <w:sz w:val="36"/>
          <w:szCs w:val="36"/>
          <w:lang w:val="en-US" w:eastAsia="zh-CN"/>
        </w:rPr>
        <w:t>OXAC-303产品说明书</w:t>
      </w:r>
    </w:p>
    <w:bookmarkEnd w:id="0"/>
    <w:p>
      <w:pPr>
        <w:rPr>
          <w:rFonts w:hint="eastAsia" w:asciiTheme="majorEastAsia" w:hAnsiTheme="majorEastAsia" w:eastAsiaTheme="majorEastAsia" w:cstheme="majorEastAsia"/>
          <w:sz w:val="28"/>
          <w:szCs w:val="28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color w:val="FF0000"/>
          <w:sz w:val="28"/>
          <w:szCs w:val="28"/>
          <w:lang w:val="en-US" w:eastAsia="zh-CN"/>
        </w:rPr>
        <w:t>产品化学名称：</w:t>
      </w:r>
      <w:r>
        <w:rPr>
          <w:rFonts w:hint="eastAsia" w:asciiTheme="majorEastAsia" w:hAnsiTheme="majorEastAsia" w:eastAsiaTheme="majorEastAsia" w:cstheme="majorEastAsia"/>
          <w:sz w:val="28"/>
          <w:szCs w:val="28"/>
          <w:lang w:val="en-US" w:eastAsia="zh-CN"/>
        </w:rPr>
        <w:t>烷撑烯基聚氧乙烯醚</w:t>
      </w:r>
    </w:p>
    <w:p>
      <w:pPr>
        <w:rPr>
          <w:rFonts w:hint="eastAsia"/>
          <w:sz w:val="28"/>
          <w:szCs w:val="28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color w:val="FF0000"/>
          <w:sz w:val="28"/>
          <w:szCs w:val="28"/>
          <w:lang w:val="en-US" w:eastAsia="zh-CN"/>
        </w:rPr>
        <w:t>产品应用：</w:t>
      </w:r>
      <w:r>
        <w:rPr>
          <w:rFonts w:hint="eastAsia"/>
          <w:sz w:val="28"/>
          <w:szCs w:val="28"/>
          <w:lang w:val="en-US" w:eastAsia="zh-CN"/>
        </w:rPr>
        <w:t>OXAC-303是一种新型聚氧乙烯醚，聚醚单体作为合成聚羧酸系水泥减水剂中主要原材料使用，其合成的聚羧酸系高效减水剂有较强的水泥颗粒分散性及保持能力，与市面上普通减水剂相比具有掺量低、减水率高、和易性好、针对高标号混凝土具有一定的降粘作用。</w:t>
      </w:r>
    </w:p>
    <w:p>
      <w:pPr>
        <w:rPr>
          <w:rFonts w:ascii="Times New Roman" w:hAnsi="Times New Roman" w:eastAsia="宋体" w:cs="Times New Roman"/>
          <w:color w:val="333333"/>
          <w:kern w:val="0"/>
          <w:sz w:val="28"/>
          <w:szCs w:val="28"/>
        </w:rPr>
      </w:pPr>
      <w:r>
        <w:rPr>
          <w:rFonts w:ascii="Times New Roman" w:hAnsi="宋体" w:eastAsia="宋体" w:cs="Times New Roman"/>
          <w:b/>
          <w:bCs w:val="0"/>
          <w:color w:val="FF0000"/>
          <w:kern w:val="0"/>
          <w:sz w:val="28"/>
          <w:szCs w:val="28"/>
        </w:rPr>
        <w:t>质量指标：</w:t>
      </w:r>
    </w:p>
    <w:tbl>
      <w:tblPr>
        <w:tblStyle w:val="3"/>
        <w:tblW w:w="8535" w:type="dxa"/>
        <w:tblInd w:w="-123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97"/>
        <w:gridCol w:w="2265"/>
        <w:gridCol w:w="3273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2997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>
            <w:pPr>
              <w:ind w:firstLine="984" w:firstLineChars="350"/>
              <w:jc w:val="both"/>
              <w:rPr>
                <w:rFonts w:hint="eastAsia" w:ascii="Times New Roman" w:hAnsi="Times New Roman" w:eastAsia="宋体" w:cs="Times New Roman"/>
                <w:b/>
                <w:bCs/>
                <w:color w:val="333333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333333"/>
                <w:kern w:val="0"/>
                <w:sz w:val="28"/>
                <w:szCs w:val="28"/>
                <w:lang w:val="en-US" w:eastAsia="zh-CN"/>
              </w:rPr>
              <w:t>产品</w:t>
            </w:r>
          </w:p>
        </w:tc>
        <w:tc>
          <w:tcPr>
            <w:tcW w:w="2265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>
            <w:pPr>
              <w:pStyle w:val="11"/>
              <w:jc w:val="center"/>
              <w:rPr>
                <w:rFonts w:hint="default" w:ascii="Times New Roman" w:hAnsi="Times New Roman" w:eastAsia="宋体"/>
                <w:b/>
                <w:bCs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HAnsi" w:hAnsiTheme="minorHAnsi" w:eastAsiaTheme="minorEastAsia" w:cstheme="minorBidi"/>
                <w:b/>
                <w:bCs/>
                <w:color w:val="auto"/>
                <w:kern w:val="2"/>
                <w:sz w:val="28"/>
                <w:szCs w:val="28"/>
                <w:lang w:val="en-US" w:eastAsia="zh-CN" w:bidi="ar-SA"/>
              </w:rPr>
              <w:t>OXAC-303</w:t>
            </w:r>
          </w:p>
        </w:tc>
        <w:tc>
          <w:tcPr>
            <w:tcW w:w="3273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>
            <w:pPr>
              <w:pStyle w:val="11"/>
              <w:jc w:val="center"/>
              <w:rPr>
                <w:rFonts w:hint="eastAsia" w:ascii="Times New Roman" w:hAnsi="Times New Roman" w:eastAsia="宋体"/>
                <w:b/>
                <w:bCs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/>
                <w:b/>
                <w:bCs/>
                <w:color w:val="auto"/>
                <w:sz w:val="28"/>
                <w:szCs w:val="28"/>
                <w:lang w:val="en-US" w:eastAsia="zh-CN"/>
              </w:rPr>
              <w:t>检测标准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97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Times New Roman" w:hAnsi="Times New Roman" w:eastAsia="宋体" w:cs="Times New Roman"/>
                <w:b/>
                <w:bCs/>
                <w:color w:val="333333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333333"/>
                <w:kern w:val="0"/>
                <w:sz w:val="28"/>
                <w:szCs w:val="28"/>
                <w:lang w:val="en-US" w:eastAsia="zh-CN"/>
              </w:rPr>
              <w:t>外观（25℃）</w:t>
            </w:r>
          </w:p>
        </w:tc>
        <w:tc>
          <w:tcPr>
            <w:tcW w:w="2265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  <w:lang w:val="en-US" w:eastAsia="zh-CN"/>
              </w:rPr>
              <w:t>白色至微黄片状</w:t>
            </w:r>
          </w:p>
        </w:tc>
        <w:tc>
          <w:tcPr>
            <w:tcW w:w="3273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  <w:lang w:val="en-US" w:eastAsia="zh-CN"/>
              </w:rPr>
              <w:t>目测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97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>
            <w:pPr>
              <w:ind w:firstLine="281" w:firstLineChars="100"/>
              <w:jc w:val="both"/>
              <w:rPr>
                <w:rFonts w:hint="eastAsia" w:ascii="Times New Roman" w:hAnsi="Times New Roman" w:cs="Times New Roman" w:eastAsiaTheme="minorEastAsia"/>
                <w:b/>
                <w:bCs/>
                <w:color w:val="333333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333333"/>
                <w:kern w:val="0"/>
                <w:sz w:val="28"/>
                <w:szCs w:val="28"/>
                <w:lang w:val="en-US" w:eastAsia="zh-CN"/>
              </w:rPr>
              <w:t>羟值（</w:t>
            </w:r>
            <w:r>
              <w:rPr>
                <w:rFonts w:hint="default" w:ascii="Times New Roman" w:hAnsi="Times New Roman"/>
                <w:sz w:val="28"/>
                <w:szCs w:val="28"/>
                <w:u w:val="none"/>
              </w:rPr>
              <w:t>mgKOH/</w:t>
            </w:r>
            <w:r>
              <w:rPr>
                <w:rFonts w:hint="default" w:ascii="Times New Roman" w:hAnsi="Times New Roman"/>
                <w:sz w:val="28"/>
                <w:szCs w:val="28"/>
              </w:rPr>
              <w:t>g</w:t>
            </w: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）</w:t>
            </w:r>
          </w:p>
        </w:tc>
        <w:tc>
          <w:tcPr>
            <w:tcW w:w="2265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color w:val="333333"/>
                <w:kern w:val="0"/>
                <w:sz w:val="28"/>
                <w:szCs w:val="28"/>
                <w:lang w:val="en-US" w:eastAsia="zh-CN"/>
              </w:rPr>
              <w:t>13.7-14.8</w:t>
            </w:r>
          </w:p>
        </w:tc>
        <w:tc>
          <w:tcPr>
            <w:tcW w:w="3273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color w:val="333333"/>
                <w:kern w:val="0"/>
                <w:sz w:val="28"/>
                <w:szCs w:val="28"/>
                <w:lang w:val="en-US" w:eastAsia="zh-CN"/>
              </w:rPr>
              <w:t>GB/T7383-2007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97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>
            <w:pPr>
              <w:ind w:firstLine="281" w:firstLineChars="100"/>
              <w:jc w:val="both"/>
              <w:rPr>
                <w:rFonts w:hint="eastAsia" w:ascii="Times New Roman" w:hAnsi="Times New Roman" w:cs="Times New Roman" w:eastAsiaTheme="minorEastAsia"/>
                <w:b/>
                <w:bCs/>
                <w:color w:val="333333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333333"/>
                <w:kern w:val="0"/>
                <w:sz w:val="28"/>
                <w:szCs w:val="28"/>
                <w:lang w:val="en-US" w:eastAsia="zh-CN"/>
              </w:rPr>
              <w:t>碘值（</w:t>
            </w:r>
            <w:r>
              <w:rPr>
                <w:rFonts w:hint="default" w:ascii="Times New Roman" w:hAnsi="Times New Roman"/>
                <w:sz w:val="28"/>
                <w:szCs w:val="28"/>
              </w:rPr>
              <w:t>mgKOH/g</w:t>
            </w: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）</w:t>
            </w:r>
          </w:p>
        </w:tc>
        <w:tc>
          <w:tcPr>
            <w:tcW w:w="2265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  <w:lang w:val="en-US" w:eastAsia="zh-CN"/>
              </w:rPr>
              <w:t>5.3</w:t>
            </w:r>
          </w:p>
        </w:tc>
        <w:tc>
          <w:tcPr>
            <w:tcW w:w="3273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  <w:lang w:val="en-US" w:eastAsia="zh-CN"/>
              </w:rPr>
              <w:t>企标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97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>
            <w:pPr>
              <w:jc w:val="both"/>
              <w:rPr>
                <w:rFonts w:hint="eastAsia" w:ascii="Times New Roman" w:hAnsi="Times New Roman" w:eastAsia="宋体" w:cs="Times New Roman"/>
                <w:b/>
                <w:bCs/>
                <w:color w:val="333333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333333"/>
                <w:kern w:val="0"/>
                <w:sz w:val="28"/>
                <w:szCs w:val="28"/>
                <w:lang w:val="en-US" w:eastAsia="zh-CN"/>
              </w:rPr>
              <w:t>双键保留率（％）（≥）</w:t>
            </w:r>
          </w:p>
        </w:tc>
        <w:tc>
          <w:tcPr>
            <w:tcW w:w="2265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  <w:lang w:val="en-US" w:eastAsia="zh-CN"/>
              </w:rPr>
              <w:t>90</w:t>
            </w:r>
          </w:p>
        </w:tc>
        <w:tc>
          <w:tcPr>
            <w:tcW w:w="3273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  <w:lang w:val="en-US" w:eastAsia="zh-CN"/>
              </w:rPr>
              <w:t>比值</w:t>
            </w:r>
          </w:p>
        </w:tc>
      </w:tr>
    </w:tbl>
    <w:p>
      <w:pPr>
        <w:widowControl/>
        <w:spacing w:before="100" w:beforeAutospacing="1" w:after="100" w:afterAutospacing="1"/>
        <w:rPr>
          <w:rFonts w:ascii="Times New Roman" w:hAnsi="Times New Roman" w:eastAsia="宋体" w:cs="Times New Roman"/>
          <w:sz w:val="28"/>
          <w:szCs w:val="28"/>
        </w:rPr>
      </w:pPr>
      <w:r>
        <w:rPr>
          <w:rFonts w:ascii="Times New Roman" w:hAnsi="宋体" w:eastAsia="宋体" w:cs="Times New Roman"/>
          <w:b/>
          <w:bCs/>
          <w:color w:val="FF0000"/>
          <w:kern w:val="0"/>
          <w:sz w:val="28"/>
          <w:szCs w:val="28"/>
        </w:rPr>
        <w:t>包装规格：</w:t>
      </w:r>
      <w:r>
        <w:rPr>
          <w:rFonts w:ascii="Times New Roman" w:hAnsi="宋体" w:eastAsia="宋体" w:cs="Times New Roman"/>
          <w:color w:val="000000"/>
          <w:kern w:val="0"/>
          <w:sz w:val="28"/>
          <w:szCs w:val="28"/>
        </w:rPr>
        <w:t>片状产品采用</w:t>
      </w:r>
      <w:r>
        <w:rPr>
          <w:rFonts w:ascii="Times New Roman" w:hAnsi="Times New Roman" w:eastAsia="宋体" w:cs="Times New Roman"/>
          <w:color w:val="000000"/>
          <w:kern w:val="0"/>
          <w:sz w:val="28"/>
          <w:szCs w:val="28"/>
        </w:rPr>
        <w:t>25kg</w:t>
      </w:r>
      <w:r>
        <w:rPr>
          <w:rFonts w:ascii="Times New Roman" w:hAnsi="宋体" w:eastAsia="宋体" w:cs="Times New Roman"/>
          <w:color w:val="000000"/>
          <w:kern w:val="0"/>
          <w:sz w:val="28"/>
          <w:szCs w:val="28"/>
        </w:rPr>
        <w:t>复合塑料编织袋或纸袋包装；</w:t>
      </w:r>
    </w:p>
    <w:p>
      <w:pPr>
        <w:autoSpaceDE w:val="0"/>
        <w:autoSpaceDN w:val="0"/>
        <w:adjustRightInd w:val="0"/>
        <w:jc w:val="left"/>
        <w:rPr>
          <w:rFonts w:ascii="Times New Roman" w:hAnsi="Times New Roman" w:eastAsia="宋体" w:cs="Times New Roman"/>
          <w:color w:val="000000"/>
          <w:kern w:val="0"/>
          <w:sz w:val="28"/>
          <w:szCs w:val="28"/>
        </w:rPr>
      </w:pPr>
      <w:r>
        <w:rPr>
          <w:rFonts w:ascii="Times New Roman" w:hAnsi="宋体" w:eastAsia="宋体" w:cs="Times New Roman"/>
          <w:b/>
          <w:bCs/>
          <w:color w:val="FF0000"/>
          <w:kern w:val="0"/>
          <w:sz w:val="28"/>
          <w:szCs w:val="28"/>
        </w:rPr>
        <w:t>贮运条件：</w:t>
      </w:r>
      <w:r>
        <w:rPr>
          <w:rFonts w:ascii="Times New Roman" w:hAnsi="宋体" w:eastAsia="宋体" w:cs="Times New Roman"/>
          <w:color w:val="000000"/>
          <w:kern w:val="0"/>
          <w:sz w:val="28"/>
          <w:szCs w:val="28"/>
        </w:rPr>
        <w:t>本品无毒、难燃，可按一般化学品运输规定办理，严禁与氧化剂、还原剂、酸类物质、水等其他化学品混装储运。储存于干燥、阴凉、通风处，运输过程中避免阳光直接照射和雨淋，储存温度不宜高于</w:t>
      </w:r>
      <w:r>
        <w:rPr>
          <w:rFonts w:ascii="Times New Roman" w:hAnsi="Times New Roman" w:eastAsia="宋体" w:cs="Times New Roman"/>
          <w:color w:val="000000"/>
          <w:kern w:val="0"/>
          <w:sz w:val="28"/>
          <w:szCs w:val="28"/>
        </w:rPr>
        <w:t>40</w:t>
      </w:r>
      <w:r>
        <w:rPr>
          <w:rFonts w:ascii="Times New Roman" w:hAnsi="宋体" w:eastAsia="宋体" w:cs="Times New Roman"/>
          <w:color w:val="000000"/>
          <w:kern w:val="0"/>
          <w:sz w:val="28"/>
          <w:szCs w:val="28"/>
        </w:rPr>
        <w:t>℃。</w:t>
      </w:r>
      <w:r>
        <w:rPr>
          <w:rFonts w:ascii="Times New Roman" w:hAnsi="Times New Roman" w:eastAsia="宋体" w:cs="Times New Roman"/>
          <w:color w:val="000000"/>
          <w:kern w:val="0"/>
          <w:sz w:val="28"/>
          <w:szCs w:val="28"/>
        </w:rPr>
        <w:t xml:space="preserve"> </w:t>
      </w:r>
    </w:p>
    <w:p>
      <w:r>
        <w:rPr>
          <w:rFonts w:ascii="Times New Roman" w:hAnsi="宋体" w:eastAsia="宋体" w:cs="Times New Roman"/>
          <w:b/>
          <w:bCs/>
          <w:color w:val="FF0000"/>
          <w:kern w:val="0"/>
          <w:sz w:val="28"/>
          <w:szCs w:val="28"/>
        </w:rPr>
        <w:t>产品保质期：</w:t>
      </w:r>
      <w:r>
        <w:rPr>
          <w:rFonts w:ascii="Times New Roman" w:hAnsi="宋体" w:eastAsia="宋体" w:cs="Times New Roman"/>
          <w:kern w:val="0"/>
          <w:sz w:val="28"/>
          <w:szCs w:val="28"/>
        </w:rPr>
        <w:t>在规定的贮运条件下保质期</w:t>
      </w:r>
      <w:r>
        <w:rPr>
          <w:rFonts w:hint="eastAsia" w:ascii="Times New Roman" w:hAnsi="宋体" w:eastAsia="宋体" w:cs="Times New Roman"/>
          <w:kern w:val="0"/>
          <w:sz w:val="28"/>
          <w:szCs w:val="28"/>
          <w:lang w:val="en-US" w:eastAsia="zh-CN"/>
        </w:rPr>
        <w:t>6</w:t>
      </w:r>
      <w:r>
        <w:rPr>
          <w:rFonts w:ascii="Times New Roman" w:hAnsi="宋体" w:eastAsia="宋体" w:cs="Times New Roman"/>
          <w:kern w:val="0"/>
          <w:sz w:val="28"/>
          <w:szCs w:val="28"/>
        </w:rPr>
        <w:t>个月。</w:t>
      </w:r>
    </w:p>
    <w:p>
      <w:pPr>
        <w:rPr>
          <w:rFonts w:hint="default"/>
          <w:lang w:val="en-US" w:eastAsia="zh-CN"/>
        </w:rPr>
      </w:pPr>
    </w:p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Font Awesome 5 Fre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onsolas">
    <w:panose1 w:val="020B0609020204030204"/>
    <w:charset w:val="00"/>
    <w:family w:val="auto"/>
    <w:pitch w:val="default"/>
    <w:sig w:usb0="E00006FF" w:usb1="0000FCFF" w:usb2="00000001" w:usb3="00000000" w:csb0="6000019F" w:csb1="DFD7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left"/>
      <w:rPr>
        <w:rFonts w:hint="eastAsia" w:ascii="楷体" w:hAnsi="楷体" w:eastAsia="楷体" w:cs="楷体"/>
        <w:color w:val="002060"/>
        <w:sz w:val="21"/>
        <w:szCs w:val="21"/>
        <w:lang w:val="en-US" w:eastAsia="zh-CN"/>
      </w:rPr>
    </w:pPr>
    <w:r>
      <w:rPr>
        <w:rFonts w:hint="eastAsia" w:ascii="宋体" w:hAnsi="宋体"/>
        <w:sz w:val="28"/>
        <w:szCs w:val="28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28575</wp:posOffset>
          </wp:positionH>
          <wp:positionV relativeFrom="paragraph">
            <wp:posOffset>-160020</wp:posOffset>
          </wp:positionV>
          <wp:extent cx="533400" cy="533400"/>
          <wp:effectExtent l="0" t="0" r="0" b="0"/>
          <wp:wrapNone/>
          <wp:docPr id="2" name="Picture 4" descr="奥克图标_招股书用_无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4" descr="奥克图标_招股书用_无R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33400" cy="533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rFonts w:hint="eastAsia" w:ascii="宋体" w:hAnsi="宋体"/>
        <w:sz w:val="28"/>
        <w:szCs w:val="28"/>
        <w:lang w:val="en-US" w:eastAsia="zh-CN"/>
      </w:rPr>
      <w:t xml:space="preserve">                                              </w:t>
    </w:r>
    <w:r>
      <w:rPr>
        <w:rFonts w:hint="eastAsia" w:ascii="楷体" w:hAnsi="楷体" w:eastAsia="楷体" w:cs="楷体"/>
        <w:color w:val="002060"/>
        <w:sz w:val="21"/>
        <w:szCs w:val="21"/>
        <w:lang w:val="en-US" w:eastAsia="zh-CN"/>
      </w:rPr>
      <w:t xml:space="preserve">共创共享  </w:t>
    </w:r>
  </w:p>
  <w:p>
    <w:pPr>
      <w:pStyle w:val="2"/>
      <w:ind w:firstLine="1050" w:firstLineChars="500"/>
      <w:jc w:val="left"/>
      <w:rPr>
        <w:rFonts w:hint="default" w:ascii="楷体" w:hAnsi="楷体" w:eastAsia="楷体" w:cs="楷体"/>
        <w:sz w:val="24"/>
        <w:szCs w:val="24"/>
        <w:lang w:val="en-US" w:eastAsia="zh-CN"/>
      </w:rPr>
    </w:pPr>
    <w:r>
      <w:rPr>
        <w:rFonts w:hint="eastAsia" w:ascii="楷体" w:hAnsi="楷体" w:eastAsia="楷体" w:cs="楷体"/>
        <w:color w:val="002060"/>
        <w:sz w:val="21"/>
        <w:szCs w:val="21"/>
        <w:lang w:val="en-US" w:eastAsia="zh-CN"/>
      </w:rPr>
      <w:t>OXRIAN Chemical Company                                     共和共荣</w:t>
    </w:r>
    <w:r>
      <w:rPr>
        <w:rFonts w:hint="eastAsia" w:ascii="楷体" w:hAnsi="楷体" w:eastAsia="楷体" w:cs="楷体"/>
        <w:color w:val="4472C4" w:themeColor="accent5"/>
        <w:sz w:val="21"/>
        <w:szCs w:val="21"/>
        <w:lang w:val="en-US" w:eastAsia="zh-CN"/>
        <w14:textFill>
          <w14:solidFill>
            <w14:schemeClr w14:val="accent5"/>
          </w14:solidFill>
        </w14:textFill>
      </w:rPr>
      <w:t xml:space="preserve"> </w:t>
    </w:r>
    <w:r>
      <w:rPr>
        <w:rFonts w:hint="eastAsia" w:ascii="宋体" w:hAnsi="宋体"/>
        <w:sz w:val="28"/>
        <w:szCs w:val="28"/>
        <w:lang w:val="en-US" w:eastAsia="zh-CN"/>
      </w:rPr>
      <w:t xml:space="preserve">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91D5654"/>
    <w:rsid w:val="16835CA9"/>
    <w:rsid w:val="1DAE542B"/>
    <w:rsid w:val="56EC6941"/>
    <w:rsid w:val="5A533D56"/>
    <w:rsid w:val="778804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5">
    <w:name w:val="Strong"/>
    <w:basedOn w:val="4"/>
    <w:qFormat/>
    <w:uiPriority w:val="0"/>
    <w:rPr>
      <w:b/>
    </w:rPr>
  </w:style>
  <w:style w:type="character" w:styleId="6">
    <w:name w:val="FollowedHyperlink"/>
    <w:basedOn w:val="4"/>
    <w:uiPriority w:val="0"/>
    <w:rPr>
      <w:color w:val="007BFF"/>
      <w:u w:val="none"/>
    </w:rPr>
  </w:style>
  <w:style w:type="character" w:styleId="7">
    <w:name w:val="Hyperlink"/>
    <w:basedOn w:val="4"/>
    <w:uiPriority w:val="0"/>
    <w:rPr>
      <w:color w:val="007BFF"/>
      <w:u w:val="none"/>
    </w:rPr>
  </w:style>
  <w:style w:type="character" w:styleId="8">
    <w:name w:val="HTML Code"/>
    <w:basedOn w:val="4"/>
    <w:uiPriority w:val="0"/>
    <w:rPr>
      <w:rFonts w:hint="default" w:ascii="Consolas" w:hAnsi="Consolas" w:eastAsia="Consolas" w:cs="Consolas"/>
      <w:color w:val="E83E8C"/>
      <w:sz w:val="21"/>
      <w:szCs w:val="21"/>
    </w:rPr>
  </w:style>
  <w:style w:type="character" w:styleId="9">
    <w:name w:val="HTML Keyboard"/>
    <w:basedOn w:val="4"/>
    <w:uiPriority w:val="0"/>
    <w:rPr>
      <w:rFonts w:ascii="Consolas" w:hAnsi="Consolas" w:eastAsia="Consolas" w:cs="Consolas"/>
      <w:color w:val="FFFFFF"/>
      <w:sz w:val="21"/>
      <w:szCs w:val="21"/>
      <w:shd w:val="clear" w:fill="212529"/>
    </w:rPr>
  </w:style>
  <w:style w:type="character" w:styleId="10">
    <w:name w:val="HTML Sample"/>
    <w:basedOn w:val="4"/>
    <w:uiPriority w:val="0"/>
    <w:rPr>
      <w:rFonts w:hint="default" w:ascii="Consolas" w:hAnsi="Consolas" w:eastAsia="Consolas" w:cs="Consolas"/>
      <w:sz w:val="21"/>
      <w:szCs w:val="21"/>
    </w:rPr>
  </w:style>
  <w:style w:type="paragraph" w:customStyle="1" w:styleId="11">
    <w:name w:val="Default"/>
    <w:unhideWhenUsed/>
    <w:qFormat/>
    <w:uiPriority w:val="0"/>
    <w:pPr>
      <w:widowControl w:val="0"/>
      <w:autoSpaceDE w:val="0"/>
      <w:autoSpaceDN w:val="0"/>
      <w:adjustRightInd w:val="0"/>
    </w:pPr>
    <w:rPr>
      <w:rFonts w:hint="eastAsia" w:ascii="宋体" w:hAnsi="宋体" w:eastAsia="宋体" w:cs="Times New Roman"/>
      <w:color w:val="000000"/>
      <w:sz w:val="24"/>
      <w:lang w:val="en-US" w:eastAsia="zh-CN" w:bidi="ar-SA"/>
    </w:rPr>
  </w:style>
  <w:style w:type="character" w:customStyle="1" w:styleId="12">
    <w:name w:val="before"/>
    <w:basedOn w:val="4"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7</TotalTime>
  <ScaleCrop>false</ScaleCrop>
  <LinksUpToDate>false</LinksUpToDate>
  <CharactersWithSpaces>0</CharactersWithSpaces>
  <Application>WPS Office_11.3.0.8775_F1E327BC-269C-435d-A152-05C5408002CA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2021-05-12T08:21:00Z</dcterms:created>
  <dc:creator>jyp13</dc:creator>
  <cp:lastModifiedBy>爱在下一光年</cp:lastModifiedBy>
  <dcterms:modified xsi:type="dcterms:W3CDTF">2021-05-13T02:11:11Z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2052-11.3.0.8775</vt:lpwstr>
  </property>
</Properties>
</file>